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阿克陶县喀热开其克乡人民政府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2024年03月26日</w:t>
      </w:r>
    </w:p>
    <w:p>
      <w:pPr>
        <w:rPr>
          <w:rFonts w:hAnsi="宋体" w:eastAsia="仿宋_GB2312" w:cs="宋体"/>
          <w:kern w:val="0"/>
          <w:sz w:val="36"/>
          <w:szCs w:val="36"/>
        </w:rPr>
      </w:pPr>
      <w:r>
        <w:rPr>
          <w:rFonts w:hAnsi="宋体" w:eastAsia="仿宋_GB2312" w:cs="宋体"/>
          <w:kern w:val="0"/>
          <w:sz w:val="36"/>
          <w:szCs w:val="36"/>
        </w:rPr>
        <w:br w:type="page"/>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贯彻执行党的路线、方针、政策，讨论决定本乡基本经济建设和社会发展中等重大问题，领导乡党政机关和站所和群众组织，加强乡党委自身建设和以党支部为核心的村级组织建设（2）加强全乡社会主义民主法治建设和精神文明建设（3）加强民族团结和维护社会稳定（4）领导和管理全乡的经济工作和城乡建设；（5）领导和管理本乡民政、公安、司法、教育、科技、文化、卫生、体育、计划生育、扶贫开发、电力、防病改水，减轻农民负担以及</w:t>
      </w:r>
      <w:r>
        <w:rPr>
          <w:rFonts w:hint="eastAsia" w:ascii="仿宋_GB2312" w:hAnsi="宋体" w:eastAsia="仿宋_GB2312"/>
          <w:bCs/>
          <w:sz w:val="32"/>
          <w:szCs w:val="32"/>
          <w:lang w:eastAsia="zh-CN"/>
        </w:rPr>
        <w:t>民</w:t>
      </w:r>
      <w:r>
        <w:rPr>
          <w:rFonts w:hint="eastAsia" w:ascii="仿宋_GB2312" w:hAnsi="宋体" w:eastAsia="仿宋_GB2312"/>
          <w:bCs/>
          <w:sz w:val="32"/>
          <w:szCs w:val="32"/>
        </w:rPr>
        <w:t>族宗教事务</w:t>
      </w:r>
      <w:r>
        <w:rPr>
          <w:rFonts w:hint="eastAsia" w:ascii="仿宋_GB2312" w:hAnsi="宋体" w:eastAsia="仿宋_GB2312"/>
          <w:bCs/>
          <w:sz w:val="32"/>
          <w:szCs w:val="32"/>
          <w:lang w:eastAsia="zh-CN"/>
        </w:rPr>
        <w:t>局</w:t>
      </w:r>
      <w:r>
        <w:rPr>
          <w:rFonts w:hint="eastAsia" w:ascii="仿宋_GB2312" w:hAnsi="宋体" w:eastAsia="仿宋_GB2312"/>
          <w:bCs/>
          <w:sz w:val="32"/>
          <w:szCs w:val="32"/>
        </w:rPr>
        <w:t>等工作。（6）完成上级交办的其他工作。</w:t>
      </w:r>
      <w:r>
        <w:rPr>
          <w:rFonts w:hint="eastAsia" w:ascii="仿宋_GB2312" w:hAnsi="宋体" w:eastAsia="仿宋_GB2312"/>
          <w:bCs/>
          <w:sz w:val="32"/>
          <w:szCs w:val="32"/>
        </w:rPr>
        <w:cr/>
      </w:r>
      <w:bookmarkStart w:id="1" w:name="_GoBack"/>
      <w:bookmarkEnd w:id="1"/>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2.部门机构设置及人员构成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该项目由喀热开其克乡人民政府单位实施，1、喀热开其克乡党委；2、喀热开其克乡政府；3、喀热开其克乡财政所；4、喀热开其克乡计生站；5、喀热开其克乡农业畜牧业发展服务中心；6、喀热开其克乡文化站；7、喀热开其克乡社会保障服务中心；8、食品药品监督所；9喀热开其克乡国土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编制人数117人，其中：行政人员编制45人、工勤0人、参公0人、事业编制46人。实有在职人数117人，其中：行政在职45人、工勤3人、参公0人、事业在职71人。离退休人员38人，其中：行政退休人员23人、事业退休15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①严格落实干部实名制扁平化包户工作，乡村两级干部扁平化包户全覆盖，认真做好群众服务管理工作；重点针对“寡、孤、独、残”等弱势群体，开展关心关爱活动，及时收集和解决群众困难诉求，提升群众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②加强法律法规、惠民政策、民族团结等宣传教育，不断提升农民群众的法律意识、感恩意识。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③</w:t>
      </w:r>
      <w:r>
        <w:rPr>
          <w:rFonts w:hint="eastAsia" w:ascii="仿宋_GB2312" w:hAnsi="宋体" w:eastAsia="仿宋_GB2312"/>
          <w:bCs/>
          <w:sz w:val="32"/>
          <w:szCs w:val="32"/>
          <w:lang w:eastAsia="zh-CN"/>
        </w:rPr>
        <w:t>铸</w:t>
      </w:r>
      <w:r>
        <w:rPr>
          <w:rFonts w:hint="eastAsia" w:ascii="仿宋_GB2312" w:hAnsi="宋体" w:eastAsia="仿宋_GB2312"/>
          <w:bCs/>
          <w:sz w:val="32"/>
          <w:szCs w:val="32"/>
        </w:rPr>
        <w:t>牢中华民族共同体意识，将精神文明建设工作和民族团结进步创建工作有机结合，认真贯彻公民道德建设实施纲要，全面提高劳动者的思想道德和科学文化素质。在全乡范围内开展社会公德、职业道德、家庭美德教育，加强科普教育，倡导科学、文明、向上的生活方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④着力补齐村级组织阵地建设短板，功能不完善的状况，完善各村党建文化宣传阵地建设；坚持以人民为中心，优化阵地服务功能，进一步规范村阵地管理服务使用强化为民服务功能。建强基层队伍，筑牢基层战斗堡垒，针对重点工作分批分类举办专题培训，每年分批培训不少于12次，进一步增强村干部整体能力素质。不断壮大村级集体经济，提升为民办事能力。做好与乡镇国有企业集体资产托管相关工作，共同做好集体资产经营管理，不断规范村集体经济运行，指导做好“三会一课”主题党日等工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⑤持续加强作风建设。不断强化党风廉政建设和反腐败斗争，力求使全体党员干部以求真务实的作风，扎实完成各项工作，确保各项工作取得实质性效果，不断迈上新的台阶。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⑥完善评价结果与预算安排挂钩机制，通过建立并逐步完善预算执行考核、项目储备等单项制度机制，不断构建覆盖全面、切实可行的评价结果与预算安排挂钩机制，真正将绩效评价结果作为预算安排的重要依据，优化资源配置，提高财政资金使用效益。对预算绩效管理工作开展不力，以及财政资金配置和执行绩效未能达到预期目标或规定标准的预算部门及其责任人员，根据相关法律法规及制度办法进行绩效问责，加快形成“花钱必问效、无效必问责”的机制。</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2023年度本单位年初批复部门预算资金总额为2450.20万元，年中调增预算总额为745.4万元，调整后全年预算资金总额为3195.6万元。主要用于确保在职人员的工资、津贴、补贴、社保、医保、公积金等以及长期临聘人员工资等人员保障性经费能够依规、按时、足额发放或缴纳；公用经费用于基本公用经费用于支付办公室日常的邮电费、办公用品、办公耗材款等。</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（一）整体支出规模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2023年度本单位部门整体支出资金总额为3140.6万元，预算执行率为98.29%。</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（二）基本支出管理和使用情况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我单位基本支出年初预算总额为2242.16万元，年中调增预算总额为745.4万元,全年预算总额为2987.50万元，预算调整率为24.96%（调增数/预算总金额）。预算执行总额为2982.58万元，预算执行率99.84%（全年支出数/全年预算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（三）项目支出管理和使用情况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2023年度本单位项目支出预算总额为208.04万元，实际执行资金总额为158.02万元，预算执行率为75.96%。</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1.本级财力预算安排支出管理和使用情况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2023年度预算安排本级财力资金208.04万元，实际支出资金额158.02万元，预算执行率为75.96%，涉及项目个数15个。各项目详细执行情况如下：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喀乡2023年幸福大院运转经费（自治区）：全年预算数5万元，预算执行数为5万元，预算执行率为100%；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喀乡2023年村级组织运转经费（县级）：全年预算数44万元，预算执行数为40.56万元，预算执行率为92.19%；</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喀乡2023年村级组织运转经费（县级）：全年预算数20万元，预算执行数为20万元，预算执行率为100%；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喀乡2023年纪检办案经费（县级）：全年预算数2万元，预算执行数为2万元，预算执行率为100%；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喀乡2023年干部伙食费（县级）：全年预算数6万元，预算执行数为6万元，预算执行率为100%；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幸福大院公岗工资：全年预算数25.89万元，预算执行数为12.11万元，预算执行率为46.78%；</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喀乡2023年财政所经费（县级）：全年预算数0.5万元，预算执行数为0.5万元，预算执行率为100%；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喀乡2023年公岗工资：全年预算数78.89万元，预算执行数为55.59万元，预算执行率为70.74%；</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喀乡2023年乡镇信息监察员工作经费（县级）：全年预算数1.92万元，预算执行数为1.84万元，预算执行率为95.84%；</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2023福利机构疫情防控购买项目（自治区）：全年预算数3万元，预算执行数为0万元，预算执行率为0%；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喀乡2023年幸福大院运转经费（县级）：全年预算数5万元，预算执行数为5万元，预算执行率为100%；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喀乡2023年乡级人大代表活动经费（县级：全年预算数1.47万元，预算执行数为1.47万元，预算执行率为100%；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喀乡2023年幸福大院老人补助（县级）：全年预算数10.8万元，预算执行数为6.25万元，预算执行率为57.88%；</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喀乡2023年“三八妇女节”活动经费（县级）：全年预算数0.3万元，预算执行数为0.3万元，预算执行率为100%；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喀乡2023年村务监督员补助（县级）：全年预算数3.27万元，预算执行数为1.4万元，预算执行率为42.82%；</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（一）运行成本指标完成情况分析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在职人员工资福利支出预算保障人数（人)”指标：预期指标值为≥159人，实际完成指标值为117人，指标完成率为73.58%；偏差原因：预期指标值包含退休人员，实际完成值无退休人员。改进措施：加强绩效管理，提高绩效填报准确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公用经费支出控制数（万元）”指标：预期指标值为﹤=2466.15万元，实际完成指标值为3195.60万元，指标完成率为84%；偏差原因：干部工资上涨，公用经费支出增加属于预算追加。改进措施：加强年初预算数的准确性，提高绩效填报准确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“年初预算控制率（%）”指标：预期指标值为﹦100%，实际完成指标值为71.4%，指标完成率为71.4%；偏差原因：干部工资上调，住家预算。改进措施：加强年初预算数的准确性，提高绩效填报准确率。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（二）管理效率指标完成情况分析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“结余结转变动率（%）”指标：预期指标值为&lt;=10%%，实际完成指标值为0%，指标完成率为100%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“政府采购执行率（%）”指标：预期指标值为=100%，实际完成指标值为100%，指标完成率为100%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“资金使用合规率（%）”指标：预期指标值为=100%，实际完成指标值为100%，指标完成率为100%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“资金拨付及时率（%）”指标：预期指标值为=100%，实际完成指标值为98.28%，指标完成率为98.28%，偏差原因：其中公岗工资9-12月使用2024年指标以及临时指标发放。改进措施：按照财政要求足额发放。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（三）履职效能指标完成情况分析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“当年重点工作个数（件）”指标：预期指标值为≥5件，实际完成指标值为5件，指标完成率为100%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“重点工作办结率（%）”指标：预期指标值为≥95%，实际完成指标值为100%，指标完成率为100%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（四）社会效益指标完成情况分析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“保障部门单位正常履职和各项政策措施”指标：预期指标值为提升，实际完成指标值为保障，指标完成率为100%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（五）服务对象满意度指标完成情况分析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“社会公众对本部门履职效果的满意度（%）”指标：预期指标值为≥95%，实际完成指标值为100%，指标完成率为100%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“在职人员的满意度（%）”指标：预期指标值为≥95%，实际完成指标值为100%，指标完成率为100%；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2023年度部门整体支出绩效自评综合得分94.01分，评价结果为“优”。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（一）改进措施</w:t>
      </w:r>
      <w:r>
        <w:rPr>
          <w:rFonts w:hint="eastAsia" w:ascii="仿宋_GB2312" w:hAnsi="宋体" w:eastAsia="仿宋_GB2312"/>
          <w:bCs/>
          <w:sz w:val="32"/>
          <w:szCs w:val="32"/>
        </w:rPr>
        <w:br w:type="textWrapping"/>
      </w:r>
      <w:r>
        <w:rPr>
          <w:rFonts w:hint="eastAsia" w:ascii="仿宋_GB2312" w:hAnsi="宋体" w:eastAsia="仿宋_GB2312"/>
          <w:bCs/>
          <w:sz w:val="32"/>
          <w:szCs w:val="32"/>
        </w:rPr>
        <w:t>1.继续加大绩效工作宣传力度，强化绩效理念。</w:t>
      </w:r>
      <w:r>
        <w:rPr>
          <w:rFonts w:hint="eastAsia" w:ascii="仿宋_GB2312" w:hAnsi="宋体" w:eastAsia="仿宋_GB2312"/>
          <w:bCs/>
          <w:sz w:val="32"/>
          <w:szCs w:val="32"/>
        </w:rPr>
        <w:br w:type="textWrapping"/>
      </w:r>
      <w:r>
        <w:rPr>
          <w:rFonts w:hint="eastAsia" w:ascii="仿宋_GB2312" w:hAnsi="宋体" w:eastAsia="仿宋_GB2312"/>
          <w:bCs/>
          <w:sz w:val="32"/>
          <w:szCs w:val="32"/>
        </w:rPr>
        <w:t>2.继续完善绩效指标，提高整体绩效目标质量。提升预算精细化管理水平。</w:t>
      </w:r>
      <w:r>
        <w:rPr>
          <w:rFonts w:hint="eastAsia" w:ascii="仿宋_GB2312" w:hAnsi="宋体" w:eastAsia="仿宋_GB2312"/>
          <w:bCs/>
          <w:sz w:val="32"/>
          <w:szCs w:val="32"/>
        </w:rPr>
        <w:br w:type="textWrapping"/>
      </w:r>
      <w:r>
        <w:rPr>
          <w:rFonts w:hint="eastAsia" w:ascii="仿宋_GB2312" w:hAnsi="宋体" w:eastAsia="仿宋_GB2312"/>
          <w:bCs/>
          <w:sz w:val="32"/>
          <w:szCs w:val="32"/>
        </w:rPr>
        <w:t>3.继续完善预算绩效管理相关工作制度，建立全过程预算绩效管理链条，有效贯彻落实全面实施绩效管理的精神。</w:t>
      </w:r>
      <w:r>
        <w:rPr>
          <w:rFonts w:hint="eastAsia" w:ascii="仿宋_GB2312" w:hAnsi="宋体" w:eastAsia="仿宋_GB2312"/>
          <w:bCs/>
          <w:sz w:val="32"/>
          <w:szCs w:val="32"/>
        </w:rPr>
        <w:br w:type="textWrapping"/>
      </w:r>
      <w:r>
        <w:rPr>
          <w:rFonts w:hint="eastAsia" w:ascii="仿宋_GB2312" w:hAnsi="宋体" w:eastAsia="仿宋_GB2312"/>
          <w:bCs/>
          <w:sz w:val="32"/>
          <w:szCs w:val="32"/>
        </w:rPr>
        <w:t>（二）建议</w:t>
      </w:r>
      <w:r>
        <w:rPr>
          <w:rFonts w:hint="eastAsia" w:ascii="仿宋_GB2312" w:hAnsi="宋体" w:eastAsia="仿宋_GB2312"/>
          <w:bCs/>
          <w:sz w:val="32"/>
          <w:szCs w:val="32"/>
        </w:rPr>
        <w:br w:type="textWrapping"/>
      </w:r>
      <w:r>
        <w:rPr>
          <w:rFonts w:hint="eastAsia" w:ascii="仿宋_GB2312" w:hAnsi="宋体" w:eastAsia="仿宋_GB2312"/>
          <w:bCs/>
          <w:sz w:val="32"/>
          <w:szCs w:val="32"/>
        </w:rPr>
        <w:t>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Cs/>
          <w:sz w:val="32"/>
          <w:szCs w:val="32"/>
        </w:rPr>
        <w:br w:type="textWrapping"/>
      </w:r>
      <w:r>
        <w:rPr>
          <w:rFonts w:hint="eastAsia" w:ascii="仿宋_GB2312" w:hAnsi="宋体" w:eastAsia="仿宋_GB2312"/>
          <w:bCs/>
          <w:sz w:val="32"/>
          <w:szCs w:val="32"/>
        </w:rPr>
        <w:t>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Cs/>
          <w:sz w:val="32"/>
          <w:szCs w:val="32"/>
        </w:rPr>
        <w:br w:type="textWrapping"/>
      </w:r>
      <w:r>
        <w:rPr>
          <w:rFonts w:hint="eastAsia" w:ascii="仿宋_GB2312" w:hAnsi="宋体" w:eastAsia="仿宋_GB2312"/>
          <w:bCs/>
          <w:sz w:val="32"/>
          <w:szCs w:val="32"/>
        </w:rPr>
        <w:t>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Cs/>
          <w:sz w:val="32"/>
          <w:szCs w:val="32"/>
        </w:rPr>
        <w:br w:type="textWrapping"/>
      </w:r>
      <w:r>
        <w:rPr>
          <w:rFonts w:hint="eastAsia" w:ascii="仿宋_GB2312" w:hAnsi="宋体" w:eastAsia="仿宋_GB2312"/>
          <w:bCs/>
          <w:sz w:val="32"/>
          <w:szCs w:val="32"/>
        </w:rPr>
        <w:t>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M1YTUzYWYxYTYxZTFlNDg2NmU5MjQzMDEyY2Y5YmQ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32121AE"/>
    <w:rsid w:val="06696209"/>
    <w:rsid w:val="071A2D33"/>
    <w:rsid w:val="0D1922F1"/>
    <w:rsid w:val="10DF6E84"/>
    <w:rsid w:val="1438599A"/>
    <w:rsid w:val="1A3E3A1B"/>
    <w:rsid w:val="1B50519E"/>
    <w:rsid w:val="200F4073"/>
    <w:rsid w:val="24B86128"/>
    <w:rsid w:val="3260457B"/>
    <w:rsid w:val="3CE807C3"/>
    <w:rsid w:val="494E2350"/>
    <w:rsid w:val="501442ED"/>
    <w:rsid w:val="51C70EA9"/>
    <w:rsid w:val="54F842B6"/>
    <w:rsid w:val="5874602B"/>
    <w:rsid w:val="64F5745B"/>
    <w:rsid w:val="656071F2"/>
    <w:rsid w:val="68693658"/>
    <w:rsid w:val="6BF1756B"/>
    <w:rsid w:val="6F5E1AA3"/>
    <w:rsid w:val="705E5CE7"/>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154</Words>
  <Characters>343</Characters>
  <Lines>2</Lines>
  <Paragraphs>1</Paragraphs>
  <TotalTime>10</TotalTime>
  <ScaleCrop>false</ScaleCrop>
  <LinksUpToDate>false</LinksUpToDate>
  <CharactersWithSpaces>344</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努拉地·依拉木</cp:lastModifiedBy>
  <dcterms:modified xsi:type="dcterms:W3CDTF">2024-09-23T09:52:57Z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4E2A216151A24EE5A190066F518526B7</vt:lpwstr>
  </property>
</Properties>
</file>