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ageBreakBefore w:val="0"/>
        <w:tabs>
          <w:tab w:val="left" w:pos="3600"/>
        </w:tabs>
        <w:kinsoku/>
        <w:wordWrap/>
        <w:overflowPunct/>
        <w:topLinePunct w:val="0"/>
        <w:autoSpaceDE/>
        <w:autoSpaceDN/>
        <w:bidi w:val="0"/>
        <w:spacing w:after="120" w:line="0" w:lineRule="atLeast"/>
        <w:ind w:firstLine="0" w:firstLineChars="0"/>
        <w:jc w:val="both"/>
        <w:textAlignment w:val="auto"/>
        <w:rPr>
          <w:rFonts w:hint="eastAsia" w:ascii="仿宋_GB2312" w:hAnsi="Times New Roman" w:eastAsia="仿宋_GB2312" w:cs="仿宋_GB2312"/>
          <w:b/>
          <w:bCs w:val="0"/>
          <w:kern w:val="2"/>
          <w:sz w:val="32"/>
          <w:szCs w:val="32"/>
          <w:lang w:val="en-US" w:eastAsia="zh-CN" w:bidi="ar-SA"/>
        </w:rPr>
      </w:pPr>
      <w:r>
        <w:rPr>
          <w:rFonts w:hint="eastAsia" w:ascii="仿宋_GB2312" w:hAnsi="Times New Roman" w:eastAsia="仿宋_GB2312" w:cs="仿宋_GB2312"/>
          <w:b/>
          <w:bCs w:val="0"/>
          <w:kern w:val="2"/>
          <w:sz w:val="32"/>
          <w:szCs w:val="32"/>
          <w:lang w:val="en-US" w:eastAsia="zh-CN" w:bidi="ar-SA"/>
        </w:rPr>
        <w:t>附件2：</w:t>
      </w:r>
    </w:p>
    <w:p>
      <w:pPr>
        <w:pStyle w:val="4"/>
        <w:pageBreakBefore w:val="0"/>
        <w:tabs>
          <w:tab w:val="left" w:pos="3600"/>
        </w:tabs>
        <w:kinsoku/>
        <w:wordWrap/>
        <w:overflowPunct/>
        <w:topLinePunct w:val="0"/>
        <w:autoSpaceDE/>
        <w:autoSpaceDN/>
        <w:bidi w:val="0"/>
        <w:spacing w:after="120" w:line="0" w:lineRule="atLeast"/>
        <w:ind w:firstLine="0" w:firstLineChars="0"/>
        <w:jc w:val="center"/>
        <w:textAlignment w:val="auto"/>
        <w:rPr>
          <w:rFonts w:hint="eastAsia" w:ascii="方正小标宋简体" w:hAnsi="方正小标宋简体" w:eastAsia="方正小标宋简体" w:cs="方正小标宋简体"/>
          <w:b w:val="0"/>
          <w:bCs w:val="0"/>
          <w:sz w:val="44"/>
          <w:szCs w:val="44"/>
        </w:rPr>
      </w:pPr>
      <w:bookmarkStart w:id="0" w:name="_GoBack"/>
      <w:r>
        <w:rPr>
          <w:rFonts w:hint="eastAsia" w:ascii="方正小标宋简体" w:hAnsi="方正小标宋简体" w:eastAsia="方正小标宋简体" w:cs="方正小标宋简体"/>
          <w:b w:val="0"/>
          <w:bCs w:val="0"/>
          <w:spacing w:val="20"/>
          <w:sz w:val="44"/>
          <w:szCs w:val="44"/>
        </w:rPr>
        <w:t xml:space="preserve"> </w:t>
      </w:r>
      <w:r>
        <w:rPr>
          <w:rFonts w:hint="eastAsia" w:ascii="方正小标宋简体" w:hAnsi="方正小标宋简体" w:eastAsia="方正小标宋简体" w:cs="方正小标宋简体"/>
          <w:b w:val="0"/>
          <w:bCs w:val="0"/>
          <w:kern w:val="2"/>
          <w:sz w:val="44"/>
          <w:szCs w:val="44"/>
          <w:lang w:val="en-US" w:eastAsia="zh-CN" w:bidi="ar-SA"/>
        </w:rPr>
        <w:t>地质灾害易发程度分区说明表</w:t>
      </w:r>
    </w:p>
    <w:bookmarkEnd w:id="0"/>
    <w:tbl>
      <w:tblPr>
        <w:tblStyle w:val="5"/>
        <w:tblW w:w="13892" w:type="dxa"/>
        <w:tblInd w:w="0" w:type="dxa"/>
        <w:tblLayout w:type="fixed"/>
        <w:tblCellMar>
          <w:top w:w="0" w:type="dxa"/>
          <w:left w:w="108" w:type="dxa"/>
          <w:bottom w:w="0" w:type="dxa"/>
          <w:right w:w="108" w:type="dxa"/>
        </w:tblCellMar>
      </w:tblPr>
      <w:tblGrid>
        <w:gridCol w:w="1001"/>
        <w:gridCol w:w="815"/>
        <w:gridCol w:w="1171"/>
        <w:gridCol w:w="1288"/>
        <w:gridCol w:w="1091"/>
        <w:gridCol w:w="964"/>
        <w:gridCol w:w="1107"/>
        <w:gridCol w:w="2889"/>
        <w:gridCol w:w="3566"/>
      </w:tblGrid>
      <w:tr>
        <w:tblPrEx>
          <w:tblCellMar>
            <w:top w:w="0" w:type="dxa"/>
            <w:left w:w="108" w:type="dxa"/>
            <w:bottom w:w="0" w:type="dxa"/>
            <w:right w:w="108" w:type="dxa"/>
          </w:tblCellMar>
        </w:tblPrEx>
        <w:trPr>
          <w:trHeight w:val="213" w:hRule="atLeast"/>
        </w:trPr>
        <w:tc>
          <w:tcPr>
            <w:tcW w:w="1816" w:type="dxa"/>
            <w:gridSpan w:val="2"/>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center"/>
              <w:textAlignment w:val="auto"/>
              <w:rPr>
                <w:rFonts w:eastAsia="仿宋"/>
                <w:b/>
                <w:bCs/>
                <w:kern w:val="0"/>
                <w:szCs w:val="21"/>
              </w:rPr>
            </w:pPr>
            <w:r>
              <w:rPr>
                <w:rFonts w:eastAsia="仿宋"/>
                <w:b/>
                <w:bCs/>
                <w:kern w:val="0"/>
                <w:szCs w:val="21"/>
              </w:rPr>
              <w:t>易发区级别及编号</w:t>
            </w:r>
          </w:p>
        </w:tc>
        <w:tc>
          <w:tcPr>
            <w:tcW w:w="1171"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center"/>
              <w:textAlignment w:val="auto"/>
              <w:rPr>
                <w:rFonts w:eastAsia="仿宋"/>
                <w:b/>
                <w:bCs/>
                <w:kern w:val="0"/>
                <w:szCs w:val="21"/>
              </w:rPr>
            </w:pPr>
            <w:r>
              <w:rPr>
                <w:rFonts w:eastAsia="仿宋"/>
                <w:b/>
                <w:bCs/>
                <w:kern w:val="0"/>
                <w:szCs w:val="21"/>
              </w:rPr>
              <w:t>易发区名称</w:t>
            </w:r>
          </w:p>
        </w:tc>
        <w:tc>
          <w:tcPr>
            <w:tcW w:w="1288"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center"/>
              <w:textAlignment w:val="auto"/>
              <w:rPr>
                <w:rFonts w:eastAsia="仿宋"/>
                <w:b/>
                <w:bCs/>
                <w:kern w:val="0"/>
                <w:szCs w:val="21"/>
              </w:rPr>
            </w:pPr>
            <w:r>
              <w:rPr>
                <w:rFonts w:eastAsia="仿宋"/>
                <w:b/>
                <w:bCs/>
                <w:kern w:val="0"/>
                <w:szCs w:val="21"/>
              </w:rPr>
              <w:t>面积(km</w:t>
            </w:r>
            <w:r>
              <w:rPr>
                <w:rFonts w:eastAsia="仿宋"/>
                <w:b/>
                <w:bCs/>
                <w:kern w:val="0"/>
                <w:szCs w:val="21"/>
                <w:vertAlign w:val="superscript"/>
              </w:rPr>
              <w:t>2</w:t>
            </w:r>
            <w:r>
              <w:rPr>
                <w:rFonts w:eastAsia="仿宋"/>
                <w:b/>
                <w:bCs/>
                <w:kern w:val="0"/>
                <w:szCs w:val="21"/>
              </w:rPr>
              <w:t>)</w:t>
            </w:r>
          </w:p>
        </w:tc>
        <w:tc>
          <w:tcPr>
            <w:tcW w:w="3162"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center"/>
              <w:textAlignment w:val="auto"/>
              <w:rPr>
                <w:rFonts w:eastAsia="仿宋"/>
                <w:b/>
                <w:bCs/>
                <w:kern w:val="0"/>
                <w:szCs w:val="21"/>
              </w:rPr>
            </w:pPr>
            <w:r>
              <w:rPr>
                <w:rFonts w:eastAsia="仿宋"/>
                <w:b/>
                <w:bCs/>
                <w:kern w:val="0"/>
                <w:szCs w:val="21"/>
              </w:rPr>
              <w:t>地质灾害隐患</w:t>
            </w:r>
          </w:p>
        </w:tc>
        <w:tc>
          <w:tcPr>
            <w:tcW w:w="2889"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center"/>
              <w:textAlignment w:val="auto"/>
              <w:rPr>
                <w:rFonts w:eastAsia="仿宋"/>
                <w:b/>
                <w:bCs/>
                <w:kern w:val="0"/>
                <w:szCs w:val="21"/>
              </w:rPr>
            </w:pPr>
            <w:r>
              <w:rPr>
                <w:rFonts w:eastAsia="仿宋"/>
                <w:b/>
                <w:bCs/>
                <w:kern w:val="0"/>
                <w:szCs w:val="21"/>
              </w:rPr>
              <w:t>地质环境条件概况</w:t>
            </w:r>
          </w:p>
        </w:tc>
        <w:tc>
          <w:tcPr>
            <w:tcW w:w="3566"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center"/>
              <w:textAlignment w:val="auto"/>
              <w:rPr>
                <w:rFonts w:eastAsia="仿宋"/>
                <w:b/>
                <w:bCs/>
                <w:kern w:val="0"/>
                <w:szCs w:val="21"/>
              </w:rPr>
            </w:pPr>
            <w:r>
              <w:rPr>
                <w:rFonts w:eastAsia="仿宋"/>
                <w:b/>
                <w:bCs/>
                <w:kern w:val="0"/>
                <w:szCs w:val="21"/>
              </w:rPr>
              <w:t>防治监管要求</w:t>
            </w:r>
          </w:p>
        </w:tc>
      </w:tr>
      <w:tr>
        <w:tblPrEx>
          <w:tblCellMar>
            <w:top w:w="0" w:type="dxa"/>
            <w:left w:w="108" w:type="dxa"/>
            <w:bottom w:w="0" w:type="dxa"/>
            <w:right w:w="108" w:type="dxa"/>
          </w:tblCellMar>
        </w:tblPrEx>
        <w:trPr>
          <w:trHeight w:val="385" w:hRule="atLeast"/>
        </w:trPr>
        <w:tc>
          <w:tcPr>
            <w:tcW w:w="1816"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left"/>
              <w:textAlignment w:val="auto"/>
              <w:rPr>
                <w:rFonts w:eastAsia="仿宋"/>
                <w:b/>
                <w:bCs/>
                <w:kern w:val="0"/>
                <w:szCs w:val="21"/>
              </w:rPr>
            </w:pPr>
          </w:p>
        </w:tc>
        <w:tc>
          <w:tcPr>
            <w:tcW w:w="1171"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left"/>
              <w:textAlignment w:val="auto"/>
              <w:rPr>
                <w:rFonts w:eastAsia="仿宋"/>
                <w:b/>
                <w:bCs/>
                <w:kern w:val="0"/>
                <w:szCs w:val="21"/>
              </w:rPr>
            </w:pPr>
          </w:p>
        </w:tc>
        <w:tc>
          <w:tcPr>
            <w:tcW w:w="1288"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left"/>
              <w:textAlignment w:val="auto"/>
              <w:rPr>
                <w:rFonts w:eastAsia="仿宋"/>
                <w:b/>
                <w:bCs/>
                <w:kern w:val="0"/>
                <w:szCs w:val="21"/>
              </w:rPr>
            </w:pPr>
          </w:p>
        </w:tc>
        <w:tc>
          <w:tcPr>
            <w:tcW w:w="1091"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center"/>
              <w:textAlignment w:val="auto"/>
              <w:rPr>
                <w:rFonts w:eastAsia="仿宋"/>
                <w:b/>
                <w:bCs/>
                <w:kern w:val="0"/>
                <w:szCs w:val="21"/>
              </w:rPr>
            </w:pPr>
            <w:r>
              <w:rPr>
                <w:rFonts w:eastAsia="仿宋"/>
                <w:b/>
                <w:bCs/>
                <w:kern w:val="0"/>
                <w:szCs w:val="21"/>
              </w:rPr>
              <w:t>数量（处）</w:t>
            </w:r>
          </w:p>
        </w:tc>
        <w:tc>
          <w:tcPr>
            <w:tcW w:w="964"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center"/>
              <w:textAlignment w:val="auto"/>
              <w:rPr>
                <w:rFonts w:eastAsia="仿宋"/>
                <w:b/>
                <w:bCs/>
                <w:kern w:val="0"/>
                <w:szCs w:val="21"/>
              </w:rPr>
            </w:pPr>
            <w:r>
              <w:rPr>
                <w:rFonts w:eastAsia="仿宋"/>
                <w:b/>
                <w:bCs/>
                <w:kern w:val="0"/>
                <w:szCs w:val="21"/>
              </w:rPr>
              <w:t>威胁人口（人）</w:t>
            </w:r>
          </w:p>
        </w:tc>
        <w:tc>
          <w:tcPr>
            <w:tcW w:w="1107"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center"/>
              <w:textAlignment w:val="auto"/>
              <w:rPr>
                <w:rFonts w:eastAsia="仿宋"/>
                <w:b/>
                <w:bCs/>
                <w:kern w:val="0"/>
                <w:szCs w:val="21"/>
              </w:rPr>
            </w:pPr>
            <w:r>
              <w:rPr>
                <w:rFonts w:eastAsia="仿宋"/>
                <w:b/>
                <w:bCs/>
                <w:kern w:val="0"/>
                <w:szCs w:val="21"/>
              </w:rPr>
              <w:t>威胁财产（万元）</w:t>
            </w:r>
          </w:p>
        </w:tc>
        <w:tc>
          <w:tcPr>
            <w:tcW w:w="2889"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left"/>
              <w:textAlignment w:val="auto"/>
              <w:rPr>
                <w:rFonts w:eastAsia="仿宋"/>
                <w:b/>
                <w:bCs/>
                <w:kern w:val="0"/>
                <w:szCs w:val="21"/>
              </w:rPr>
            </w:pPr>
          </w:p>
        </w:tc>
        <w:tc>
          <w:tcPr>
            <w:tcW w:w="3566"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left"/>
              <w:textAlignment w:val="auto"/>
              <w:rPr>
                <w:rFonts w:eastAsia="仿宋"/>
                <w:b/>
                <w:bCs/>
                <w:kern w:val="0"/>
                <w:szCs w:val="21"/>
              </w:rPr>
            </w:pPr>
          </w:p>
        </w:tc>
      </w:tr>
      <w:tr>
        <w:tblPrEx>
          <w:tblCellMar>
            <w:top w:w="0" w:type="dxa"/>
            <w:left w:w="108" w:type="dxa"/>
            <w:bottom w:w="0" w:type="dxa"/>
            <w:right w:w="108" w:type="dxa"/>
          </w:tblCellMar>
        </w:tblPrEx>
        <w:trPr>
          <w:trHeight w:val="1421" w:hRule="atLeast"/>
        </w:trPr>
        <w:tc>
          <w:tcPr>
            <w:tcW w:w="1001" w:type="dxa"/>
            <w:vMerge w:val="restart"/>
            <w:tcBorders>
              <w:top w:val="nil"/>
              <w:left w:val="single" w:color="auto" w:sz="4" w:space="0"/>
              <w:bottom w:val="single" w:color="000000" w:sz="4" w:space="0"/>
              <w:right w:val="single" w:color="auto" w:sz="4" w:space="0"/>
            </w:tcBorders>
            <w:vAlign w:val="center"/>
          </w:tcPr>
          <w:p>
            <w:pPr>
              <w:pageBreakBefore w:val="0"/>
              <w:widowControl/>
              <w:kinsoku/>
              <w:wordWrap/>
              <w:overflowPunct/>
              <w:topLinePunct w:val="0"/>
              <w:autoSpaceDE/>
              <w:autoSpaceDN/>
              <w:bidi w:val="0"/>
              <w:spacing w:line="0" w:lineRule="atLeast"/>
              <w:jc w:val="both"/>
              <w:textAlignment w:val="auto"/>
              <w:rPr>
                <w:rFonts w:eastAsia="仿宋"/>
                <w:kern w:val="0"/>
                <w:szCs w:val="21"/>
              </w:rPr>
            </w:pPr>
            <w:r>
              <w:rPr>
                <w:rFonts w:eastAsia="仿宋"/>
                <w:kern w:val="0"/>
                <w:szCs w:val="21"/>
              </w:rPr>
              <w:t>高易发区（A）</w:t>
            </w:r>
          </w:p>
        </w:tc>
        <w:tc>
          <w:tcPr>
            <w:tcW w:w="815"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center"/>
              <w:textAlignment w:val="auto"/>
              <w:rPr>
                <w:rFonts w:eastAsia="仿宋"/>
                <w:kern w:val="0"/>
                <w:szCs w:val="21"/>
              </w:rPr>
            </w:pPr>
            <w:r>
              <w:rPr>
                <w:rFonts w:eastAsia="仿宋"/>
                <w:kern w:val="0"/>
                <w:szCs w:val="21"/>
              </w:rPr>
              <w:t>A</w:t>
            </w:r>
            <w:r>
              <w:rPr>
                <w:rFonts w:eastAsia="仿宋"/>
                <w:kern w:val="0"/>
                <w:szCs w:val="21"/>
                <w:vertAlign w:val="subscript"/>
              </w:rPr>
              <w:t>1</w:t>
            </w:r>
          </w:p>
        </w:tc>
        <w:tc>
          <w:tcPr>
            <w:tcW w:w="1171"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left"/>
              <w:textAlignment w:val="auto"/>
              <w:rPr>
                <w:rFonts w:eastAsia="仿宋"/>
                <w:kern w:val="0"/>
                <w:szCs w:val="21"/>
              </w:rPr>
            </w:pPr>
            <w:r>
              <w:rPr>
                <w:rFonts w:eastAsia="仿宋"/>
                <w:kern w:val="0"/>
                <w:szCs w:val="21"/>
              </w:rPr>
              <w:t>314国道中巴公路高易发亚区</w:t>
            </w:r>
          </w:p>
        </w:tc>
        <w:tc>
          <w:tcPr>
            <w:tcW w:w="1288"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center"/>
              <w:textAlignment w:val="auto"/>
              <w:rPr>
                <w:rFonts w:eastAsia="仿宋"/>
                <w:kern w:val="0"/>
                <w:szCs w:val="21"/>
              </w:rPr>
            </w:pPr>
            <w:r>
              <w:rPr>
                <w:rFonts w:eastAsia="仿宋"/>
                <w:kern w:val="0"/>
                <w:szCs w:val="21"/>
              </w:rPr>
              <w:t>333.36</w:t>
            </w:r>
          </w:p>
        </w:tc>
        <w:tc>
          <w:tcPr>
            <w:tcW w:w="1091"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center"/>
              <w:textAlignment w:val="auto"/>
              <w:rPr>
                <w:rFonts w:eastAsia="仿宋"/>
                <w:kern w:val="0"/>
                <w:szCs w:val="21"/>
              </w:rPr>
            </w:pPr>
            <w:r>
              <w:rPr>
                <w:rFonts w:eastAsia="仿宋"/>
                <w:kern w:val="0"/>
                <w:szCs w:val="21"/>
              </w:rPr>
              <w:t>21</w:t>
            </w:r>
          </w:p>
        </w:tc>
        <w:tc>
          <w:tcPr>
            <w:tcW w:w="964"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center"/>
              <w:textAlignment w:val="auto"/>
              <w:rPr>
                <w:rFonts w:eastAsia="仿宋"/>
                <w:kern w:val="0"/>
                <w:szCs w:val="21"/>
              </w:rPr>
            </w:pPr>
            <w:r>
              <w:rPr>
                <w:rFonts w:eastAsia="仿宋"/>
                <w:kern w:val="0"/>
                <w:szCs w:val="21"/>
              </w:rPr>
              <w:t>260</w:t>
            </w:r>
          </w:p>
        </w:tc>
        <w:tc>
          <w:tcPr>
            <w:tcW w:w="1107"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center"/>
              <w:textAlignment w:val="auto"/>
              <w:rPr>
                <w:rFonts w:eastAsia="仿宋"/>
                <w:kern w:val="0"/>
                <w:szCs w:val="21"/>
              </w:rPr>
            </w:pPr>
            <w:r>
              <w:rPr>
                <w:rFonts w:eastAsia="仿宋"/>
                <w:kern w:val="0"/>
                <w:szCs w:val="21"/>
              </w:rPr>
              <w:t>2340</w:t>
            </w:r>
          </w:p>
        </w:tc>
        <w:tc>
          <w:tcPr>
            <w:tcW w:w="2889"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left"/>
              <w:textAlignment w:val="auto"/>
              <w:rPr>
                <w:rFonts w:eastAsia="仿宋"/>
                <w:kern w:val="0"/>
                <w:szCs w:val="21"/>
              </w:rPr>
            </w:pPr>
            <w:r>
              <w:rPr>
                <w:rFonts w:eastAsia="仿宋"/>
                <w:kern w:val="0"/>
                <w:szCs w:val="21"/>
              </w:rPr>
              <w:t>中高山河流谷地地貌，在地形坡度上以中陡坡、陡坡为主，地层以粉砂岩为主，节理构造发育，沟谷发育，切割强烈，地质环境条件脆弱，暴雨时常发生泥石流堵塞交通，威胁车辆行人安全。</w:t>
            </w:r>
          </w:p>
        </w:tc>
        <w:tc>
          <w:tcPr>
            <w:tcW w:w="3566" w:type="dxa"/>
            <w:vMerge w:val="restart"/>
            <w:tcBorders>
              <w:top w:val="nil"/>
              <w:left w:val="single" w:color="auto" w:sz="4" w:space="0"/>
              <w:bottom w:val="single" w:color="000000" w:sz="4" w:space="0"/>
              <w:right w:val="single" w:color="auto" w:sz="4" w:space="0"/>
            </w:tcBorders>
            <w:vAlign w:val="center"/>
          </w:tcPr>
          <w:p>
            <w:pPr>
              <w:pageBreakBefore w:val="0"/>
              <w:widowControl/>
              <w:kinsoku/>
              <w:wordWrap/>
              <w:overflowPunct/>
              <w:topLinePunct w:val="0"/>
              <w:autoSpaceDE/>
              <w:autoSpaceDN/>
              <w:bidi w:val="0"/>
              <w:spacing w:line="0" w:lineRule="atLeast"/>
              <w:jc w:val="left"/>
              <w:textAlignment w:val="auto"/>
              <w:rPr>
                <w:rFonts w:eastAsia="仿宋"/>
                <w:kern w:val="0"/>
                <w:szCs w:val="21"/>
              </w:rPr>
            </w:pPr>
            <w:r>
              <w:rPr>
                <w:rFonts w:eastAsia="仿宋"/>
                <w:kern w:val="0"/>
                <w:szCs w:val="21"/>
              </w:rPr>
              <w:t>1）完善群测群防网络，加强监测预报预警；2）修订灾害点的防灾避险方案，调整发放防灾明白卡、避险卡；3）发现问题及时处理，积极采取工程措施，消除地质灾害隐患；4）规范人类工程活动，高易发区内限制重大工程建设，若确需建设，必须先进行地质灾害危险性评估，经科学决策后才能进行；5）加强地质灾害防治知识宣传，增强全民地质防治认知；6）建立地质灾害数据库，加强地质灾害监测管理，实现地质灾害防灾、减灾动态管理。</w:t>
            </w:r>
          </w:p>
        </w:tc>
      </w:tr>
      <w:tr>
        <w:tblPrEx>
          <w:tblCellMar>
            <w:top w:w="0" w:type="dxa"/>
            <w:left w:w="108" w:type="dxa"/>
            <w:bottom w:w="0" w:type="dxa"/>
            <w:right w:w="108" w:type="dxa"/>
          </w:tblCellMar>
        </w:tblPrEx>
        <w:trPr>
          <w:trHeight w:val="1385" w:hRule="atLeast"/>
        </w:trPr>
        <w:tc>
          <w:tcPr>
            <w:tcW w:w="1001" w:type="dxa"/>
            <w:vMerge w:val="continue"/>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left"/>
              <w:textAlignment w:val="auto"/>
              <w:rPr>
                <w:rFonts w:eastAsia="仿宋"/>
                <w:kern w:val="0"/>
                <w:szCs w:val="21"/>
              </w:rPr>
            </w:pPr>
          </w:p>
        </w:tc>
        <w:tc>
          <w:tcPr>
            <w:tcW w:w="815"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center"/>
              <w:textAlignment w:val="auto"/>
              <w:rPr>
                <w:rFonts w:eastAsia="仿宋"/>
                <w:kern w:val="0"/>
                <w:szCs w:val="21"/>
              </w:rPr>
            </w:pPr>
            <w:r>
              <w:rPr>
                <w:rFonts w:eastAsia="仿宋"/>
                <w:kern w:val="0"/>
                <w:szCs w:val="21"/>
              </w:rPr>
              <w:t>A</w:t>
            </w:r>
            <w:r>
              <w:rPr>
                <w:rFonts w:eastAsia="仿宋"/>
                <w:kern w:val="0"/>
                <w:szCs w:val="21"/>
                <w:vertAlign w:val="subscript"/>
              </w:rPr>
              <w:t>2</w:t>
            </w:r>
          </w:p>
        </w:tc>
        <w:tc>
          <w:tcPr>
            <w:tcW w:w="1171"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left"/>
              <w:textAlignment w:val="auto"/>
              <w:rPr>
                <w:rFonts w:eastAsia="仿宋"/>
                <w:kern w:val="0"/>
                <w:szCs w:val="21"/>
              </w:rPr>
            </w:pPr>
            <w:r>
              <w:rPr>
                <w:rFonts w:eastAsia="仿宋"/>
                <w:kern w:val="0"/>
                <w:szCs w:val="21"/>
                <w:lang w:val="en"/>
              </w:rPr>
              <w:t>克孜勒陶镇</w:t>
            </w:r>
            <w:r>
              <w:rPr>
                <w:rFonts w:eastAsia="仿宋"/>
                <w:kern w:val="0"/>
                <w:szCs w:val="21"/>
              </w:rPr>
              <w:t>-</w:t>
            </w:r>
            <w:r>
              <w:rPr>
                <w:rFonts w:eastAsia="仿宋"/>
                <w:kern w:val="0"/>
                <w:szCs w:val="21"/>
                <w:lang w:val="en"/>
              </w:rPr>
              <w:t>阿克达拉</w:t>
            </w:r>
            <w:r>
              <w:rPr>
                <w:rFonts w:eastAsia="仿宋"/>
                <w:kern w:val="0"/>
                <w:szCs w:val="21"/>
              </w:rPr>
              <w:t>牧场-塔尔乡高易发亚区</w:t>
            </w:r>
          </w:p>
        </w:tc>
        <w:tc>
          <w:tcPr>
            <w:tcW w:w="1288"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center"/>
              <w:textAlignment w:val="auto"/>
              <w:rPr>
                <w:rFonts w:eastAsia="仿宋"/>
                <w:kern w:val="0"/>
                <w:szCs w:val="21"/>
              </w:rPr>
            </w:pPr>
            <w:r>
              <w:rPr>
                <w:rFonts w:eastAsia="仿宋"/>
                <w:kern w:val="0"/>
                <w:szCs w:val="21"/>
              </w:rPr>
              <w:t>3657.43</w:t>
            </w:r>
          </w:p>
        </w:tc>
        <w:tc>
          <w:tcPr>
            <w:tcW w:w="1091"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center"/>
              <w:textAlignment w:val="auto"/>
              <w:rPr>
                <w:rFonts w:eastAsia="仿宋"/>
                <w:kern w:val="0"/>
                <w:szCs w:val="21"/>
              </w:rPr>
            </w:pPr>
            <w:r>
              <w:rPr>
                <w:rFonts w:eastAsia="仿宋"/>
                <w:kern w:val="0"/>
                <w:szCs w:val="21"/>
              </w:rPr>
              <w:t>30</w:t>
            </w:r>
          </w:p>
        </w:tc>
        <w:tc>
          <w:tcPr>
            <w:tcW w:w="964"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center"/>
              <w:textAlignment w:val="auto"/>
              <w:rPr>
                <w:rFonts w:eastAsia="仿宋"/>
                <w:kern w:val="0"/>
                <w:szCs w:val="21"/>
              </w:rPr>
            </w:pPr>
            <w:r>
              <w:rPr>
                <w:rFonts w:eastAsia="仿宋"/>
                <w:kern w:val="0"/>
                <w:szCs w:val="21"/>
              </w:rPr>
              <w:t>231</w:t>
            </w:r>
          </w:p>
        </w:tc>
        <w:tc>
          <w:tcPr>
            <w:tcW w:w="1107"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center"/>
              <w:textAlignment w:val="auto"/>
              <w:rPr>
                <w:rFonts w:eastAsia="仿宋"/>
                <w:kern w:val="0"/>
                <w:szCs w:val="21"/>
              </w:rPr>
            </w:pPr>
            <w:r>
              <w:rPr>
                <w:rFonts w:eastAsia="仿宋"/>
                <w:kern w:val="0"/>
                <w:szCs w:val="21"/>
              </w:rPr>
              <w:t>1181.5</w:t>
            </w:r>
          </w:p>
        </w:tc>
        <w:tc>
          <w:tcPr>
            <w:tcW w:w="2889"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left"/>
              <w:textAlignment w:val="auto"/>
              <w:rPr>
                <w:rFonts w:eastAsia="仿宋"/>
                <w:kern w:val="0"/>
                <w:szCs w:val="21"/>
              </w:rPr>
            </w:pPr>
            <w:r>
              <w:rPr>
                <w:rFonts w:eastAsia="仿宋"/>
                <w:kern w:val="0"/>
                <w:szCs w:val="21"/>
              </w:rPr>
              <w:t>中-高-极高山河流谷地地貌，在地形坡度上以中陡坡、陡坡为主，地层以粉砂岩、泥灰岩为主，沟谷发育，切割强烈，地质环境条件脆弱，遇暴雨在中型支沟中常常暴发中型以上的泥石流灾害。</w:t>
            </w:r>
          </w:p>
        </w:tc>
        <w:tc>
          <w:tcPr>
            <w:tcW w:w="3566" w:type="dxa"/>
            <w:vMerge w:val="continue"/>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left"/>
              <w:textAlignment w:val="auto"/>
              <w:rPr>
                <w:rFonts w:eastAsia="仿宋"/>
                <w:kern w:val="0"/>
                <w:szCs w:val="21"/>
              </w:rPr>
            </w:pPr>
          </w:p>
        </w:tc>
      </w:tr>
      <w:tr>
        <w:tblPrEx>
          <w:tblCellMar>
            <w:top w:w="0" w:type="dxa"/>
            <w:left w:w="108" w:type="dxa"/>
            <w:bottom w:w="0" w:type="dxa"/>
            <w:right w:w="108" w:type="dxa"/>
          </w:tblCellMar>
        </w:tblPrEx>
        <w:trPr>
          <w:trHeight w:val="1227" w:hRule="atLeast"/>
        </w:trPr>
        <w:tc>
          <w:tcPr>
            <w:tcW w:w="1001"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both"/>
              <w:textAlignment w:val="auto"/>
              <w:rPr>
                <w:rFonts w:eastAsia="仿宋"/>
                <w:kern w:val="0"/>
                <w:szCs w:val="21"/>
              </w:rPr>
            </w:pPr>
            <w:r>
              <w:rPr>
                <w:rFonts w:eastAsia="仿宋"/>
                <w:kern w:val="0"/>
                <w:szCs w:val="21"/>
              </w:rPr>
              <w:t>中易发区（B）</w:t>
            </w:r>
          </w:p>
        </w:tc>
        <w:tc>
          <w:tcPr>
            <w:tcW w:w="81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center"/>
              <w:textAlignment w:val="auto"/>
              <w:rPr>
                <w:rFonts w:eastAsia="仿宋"/>
                <w:kern w:val="0"/>
                <w:szCs w:val="21"/>
              </w:rPr>
            </w:pPr>
            <w:r>
              <w:rPr>
                <w:rFonts w:eastAsia="仿宋"/>
                <w:kern w:val="0"/>
                <w:szCs w:val="21"/>
              </w:rPr>
              <w:t>B</w:t>
            </w:r>
            <w:r>
              <w:rPr>
                <w:rFonts w:eastAsia="仿宋"/>
                <w:kern w:val="0"/>
                <w:szCs w:val="21"/>
                <w:vertAlign w:val="subscript"/>
              </w:rPr>
              <w:t>1</w:t>
            </w:r>
          </w:p>
        </w:tc>
        <w:tc>
          <w:tcPr>
            <w:tcW w:w="1171"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left"/>
              <w:textAlignment w:val="auto"/>
              <w:rPr>
                <w:rFonts w:eastAsia="仿宋"/>
                <w:kern w:val="0"/>
                <w:szCs w:val="21"/>
              </w:rPr>
            </w:pPr>
            <w:r>
              <w:rPr>
                <w:rFonts w:eastAsia="仿宋"/>
                <w:kern w:val="0"/>
                <w:szCs w:val="21"/>
              </w:rPr>
              <w:t>木吉乡-白沙湖中易发亚区</w:t>
            </w:r>
          </w:p>
        </w:tc>
        <w:tc>
          <w:tcPr>
            <w:tcW w:w="1288"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center"/>
              <w:textAlignment w:val="auto"/>
              <w:rPr>
                <w:rFonts w:eastAsia="仿宋"/>
                <w:kern w:val="0"/>
                <w:szCs w:val="21"/>
              </w:rPr>
            </w:pPr>
            <w:r>
              <w:rPr>
                <w:rFonts w:eastAsia="仿宋"/>
                <w:kern w:val="0"/>
                <w:szCs w:val="21"/>
              </w:rPr>
              <w:t>314.59</w:t>
            </w:r>
          </w:p>
        </w:tc>
        <w:tc>
          <w:tcPr>
            <w:tcW w:w="1091"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center"/>
              <w:textAlignment w:val="auto"/>
              <w:rPr>
                <w:rFonts w:eastAsia="仿宋"/>
                <w:kern w:val="0"/>
                <w:szCs w:val="21"/>
              </w:rPr>
            </w:pPr>
            <w:r>
              <w:rPr>
                <w:rFonts w:eastAsia="仿宋"/>
                <w:kern w:val="0"/>
                <w:szCs w:val="21"/>
              </w:rPr>
              <w:t>6</w:t>
            </w:r>
          </w:p>
        </w:tc>
        <w:tc>
          <w:tcPr>
            <w:tcW w:w="96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center"/>
              <w:textAlignment w:val="auto"/>
              <w:rPr>
                <w:rFonts w:eastAsia="仿宋"/>
                <w:kern w:val="0"/>
                <w:szCs w:val="21"/>
              </w:rPr>
            </w:pPr>
            <w:r>
              <w:rPr>
                <w:rFonts w:eastAsia="仿宋"/>
                <w:kern w:val="0"/>
                <w:szCs w:val="21"/>
              </w:rPr>
              <w:t>45</w:t>
            </w:r>
          </w:p>
        </w:tc>
        <w:tc>
          <w:tcPr>
            <w:tcW w:w="1107"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center"/>
              <w:textAlignment w:val="auto"/>
              <w:rPr>
                <w:rFonts w:eastAsia="仿宋"/>
                <w:kern w:val="0"/>
                <w:szCs w:val="21"/>
              </w:rPr>
            </w:pPr>
            <w:r>
              <w:rPr>
                <w:rFonts w:eastAsia="仿宋"/>
                <w:kern w:val="0"/>
                <w:szCs w:val="21"/>
              </w:rPr>
              <w:t>520</w:t>
            </w:r>
          </w:p>
        </w:tc>
        <w:tc>
          <w:tcPr>
            <w:tcW w:w="288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left"/>
              <w:textAlignment w:val="auto"/>
              <w:rPr>
                <w:rFonts w:eastAsia="仿宋"/>
                <w:kern w:val="0"/>
                <w:szCs w:val="21"/>
              </w:rPr>
            </w:pPr>
            <w:r>
              <w:rPr>
                <w:rFonts w:eastAsia="仿宋"/>
                <w:kern w:val="0"/>
                <w:szCs w:val="21"/>
              </w:rPr>
              <w:t>高山河流谷地地貌，在地形坡度上以中陡坡为主，地层以泥片岩为主，沟谷发育，沟口第四系堆积物多，地质环境条件脆弱，雨季易受小型泥石流的危害。</w:t>
            </w:r>
          </w:p>
        </w:tc>
        <w:tc>
          <w:tcPr>
            <w:tcW w:w="3566"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left"/>
              <w:textAlignment w:val="auto"/>
              <w:rPr>
                <w:rFonts w:eastAsia="仿宋"/>
                <w:kern w:val="0"/>
                <w:szCs w:val="21"/>
              </w:rPr>
            </w:pPr>
            <w:r>
              <w:rPr>
                <w:rFonts w:eastAsia="仿宋"/>
                <w:kern w:val="0"/>
                <w:szCs w:val="21"/>
              </w:rPr>
              <w:t>1）严格控制破坏地质环境的人类工程活动，避免现有地质灾害的复活或形成新的地质灾害；2）区内尽量避免重大工程开发建设、避免形成高陡挖方、填方边坡，若确需建设，必须先进行地质灾害性评估，经科学决策后才能进行；3）加强地质灾害防治力度，做好地质灾害防治工作；4）对高边坡泥石流沟口加强监管，加强巡查监测；5）加强地质灾害隐患监测预报预警和工程建设地质灾害危险性评估工作。</w:t>
            </w:r>
          </w:p>
        </w:tc>
      </w:tr>
      <w:tr>
        <w:tblPrEx>
          <w:tblCellMar>
            <w:top w:w="0" w:type="dxa"/>
            <w:left w:w="108" w:type="dxa"/>
            <w:bottom w:w="0" w:type="dxa"/>
            <w:right w:w="108" w:type="dxa"/>
          </w:tblCellMar>
        </w:tblPrEx>
        <w:trPr>
          <w:trHeight w:val="1242" w:hRule="atLeast"/>
        </w:trPr>
        <w:tc>
          <w:tcPr>
            <w:tcW w:w="1001"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left"/>
              <w:textAlignment w:val="auto"/>
              <w:rPr>
                <w:rFonts w:eastAsia="仿宋"/>
                <w:kern w:val="0"/>
                <w:szCs w:val="21"/>
              </w:rPr>
            </w:pPr>
          </w:p>
        </w:tc>
        <w:tc>
          <w:tcPr>
            <w:tcW w:w="81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center"/>
              <w:textAlignment w:val="auto"/>
              <w:rPr>
                <w:rFonts w:eastAsia="仿宋"/>
                <w:kern w:val="0"/>
                <w:szCs w:val="21"/>
              </w:rPr>
            </w:pPr>
            <w:r>
              <w:rPr>
                <w:rFonts w:eastAsia="仿宋"/>
                <w:kern w:val="0"/>
                <w:szCs w:val="21"/>
              </w:rPr>
              <w:t>B</w:t>
            </w:r>
            <w:r>
              <w:rPr>
                <w:rFonts w:eastAsia="仿宋"/>
                <w:kern w:val="0"/>
                <w:szCs w:val="21"/>
                <w:vertAlign w:val="subscript"/>
              </w:rPr>
              <w:t>2</w:t>
            </w:r>
          </w:p>
        </w:tc>
        <w:tc>
          <w:tcPr>
            <w:tcW w:w="1171"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left"/>
              <w:textAlignment w:val="auto"/>
              <w:rPr>
                <w:rFonts w:eastAsia="仿宋"/>
                <w:kern w:val="0"/>
                <w:szCs w:val="21"/>
              </w:rPr>
            </w:pPr>
            <w:r>
              <w:rPr>
                <w:rFonts w:eastAsia="仿宋"/>
                <w:kern w:val="0"/>
                <w:szCs w:val="21"/>
              </w:rPr>
              <w:t>巴仁乡-</w:t>
            </w:r>
            <w:r>
              <w:rPr>
                <w:rFonts w:eastAsia="仿宋"/>
                <w:kern w:val="0"/>
                <w:szCs w:val="21"/>
                <w:lang w:val="en"/>
              </w:rPr>
              <w:t>克孜勒陶镇</w:t>
            </w:r>
            <w:r>
              <w:rPr>
                <w:rFonts w:eastAsia="仿宋"/>
                <w:kern w:val="0"/>
                <w:szCs w:val="21"/>
              </w:rPr>
              <w:t>中易发亚区</w:t>
            </w:r>
          </w:p>
        </w:tc>
        <w:tc>
          <w:tcPr>
            <w:tcW w:w="1288"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center"/>
              <w:textAlignment w:val="auto"/>
              <w:rPr>
                <w:rFonts w:eastAsia="仿宋"/>
                <w:kern w:val="0"/>
                <w:szCs w:val="21"/>
              </w:rPr>
            </w:pPr>
            <w:r>
              <w:rPr>
                <w:rFonts w:eastAsia="仿宋"/>
                <w:kern w:val="0"/>
                <w:szCs w:val="21"/>
              </w:rPr>
              <w:t>4948.81</w:t>
            </w:r>
          </w:p>
        </w:tc>
        <w:tc>
          <w:tcPr>
            <w:tcW w:w="1091"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center"/>
              <w:textAlignment w:val="auto"/>
              <w:rPr>
                <w:rFonts w:eastAsia="仿宋"/>
                <w:kern w:val="0"/>
                <w:szCs w:val="21"/>
              </w:rPr>
            </w:pPr>
            <w:r>
              <w:rPr>
                <w:rFonts w:eastAsia="仿宋"/>
                <w:kern w:val="0"/>
                <w:szCs w:val="21"/>
              </w:rPr>
              <w:t>12</w:t>
            </w:r>
          </w:p>
        </w:tc>
        <w:tc>
          <w:tcPr>
            <w:tcW w:w="96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center"/>
              <w:textAlignment w:val="auto"/>
              <w:rPr>
                <w:rFonts w:eastAsia="仿宋"/>
                <w:kern w:val="0"/>
                <w:szCs w:val="21"/>
              </w:rPr>
            </w:pPr>
            <w:r>
              <w:rPr>
                <w:rFonts w:eastAsia="仿宋"/>
                <w:kern w:val="0"/>
                <w:szCs w:val="21"/>
              </w:rPr>
              <w:t>22</w:t>
            </w:r>
          </w:p>
        </w:tc>
        <w:tc>
          <w:tcPr>
            <w:tcW w:w="1107"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center"/>
              <w:textAlignment w:val="auto"/>
              <w:rPr>
                <w:rFonts w:eastAsia="仿宋"/>
                <w:kern w:val="0"/>
                <w:szCs w:val="21"/>
              </w:rPr>
            </w:pPr>
            <w:r>
              <w:rPr>
                <w:rFonts w:eastAsia="仿宋"/>
                <w:kern w:val="0"/>
                <w:szCs w:val="21"/>
              </w:rPr>
              <w:t>120</w:t>
            </w:r>
          </w:p>
        </w:tc>
        <w:tc>
          <w:tcPr>
            <w:tcW w:w="288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left"/>
              <w:textAlignment w:val="auto"/>
              <w:rPr>
                <w:rFonts w:eastAsia="仿宋"/>
                <w:kern w:val="0"/>
                <w:szCs w:val="21"/>
              </w:rPr>
            </w:pPr>
            <w:r>
              <w:rPr>
                <w:rFonts w:eastAsia="仿宋"/>
                <w:kern w:val="0"/>
                <w:szCs w:val="21"/>
              </w:rPr>
              <w:t>中-高山河谷地貌，在地形坡度上以中陡坡为主，地层以砂岩、泥灰岩为主，节理构造发育，沟谷发育，切割强烈，地质环境条件脆弱，雨季沟中易发生小型泥石流。</w:t>
            </w:r>
          </w:p>
        </w:tc>
        <w:tc>
          <w:tcPr>
            <w:tcW w:w="3566"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left"/>
              <w:textAlignment w:val="auto"/>
              <w:rPr>
                <w:rFonts w:eastAsia="仿宋"/>
                <w:kern w:val="0"/>
                <w:szCs w:val="21"/>
              </w:rPr>
            </w:pPr>
          </w:p>
        </w:tc>
      </w:tr>
      <w:tr>
        <w:tblPrEx>
          <w:tblCellMar>
            <w:top w:w="0" w:type="dxa"/>
            <w:left w:w="108" w:type="dxa"/>
            <w:bottom w:w="0" w:type="dxa"/>
            <w:right w:w="108" w:type="dxa"/>
          </w:tblCellMar>
        </w:tblPrEx>
        <w:trPr>
          <w:trHeight w:val="1006" w:hRule="atLeast"/>
        </w:trPr>
        <w:tc>
          <w:tcPr>
            <w:tcW w:w="1001"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both"/>
              <w:textAlignment w:val="auto"/>
              <w:rPr>
                <w:rFonts w:eastAsia="仿宋"/>
                <w:kern w:val="0"/>
                <w:szCs w:val="21"/>
              </w:rPr>
            </w:pPr>
            <w:r>
              <w:rPr>
                <w:rFonts w:eastAsia="仿宋"/>
                <w:kern w:val="0"/>
                <w:szCs w:val="21"/>
              </w:rPr>
              <w:t>低易发区（C）</w:t>
            </w:r>
          </w:p>
        </w:tc>
        <w:tc>
          <w:tcPr>
            <w:tcW w:w="815"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center"/>
              <w:textAlignment w:val="auto"/>
              <w:rPr>
                <w:rFonts w:eastAsia="仿宋"/>
                <w:kern w:val="0"/>
                <w:szCs w:val="21"/>
              </w:rPr>
            </w:pPr>
            <w:r>
              <w:rPr>
                <w:rFonts w:eastAsia="仿宋"/>
                <w:kern w:val="0"/>
                <w:szCs w:val="21"/>
              </w:rPr>
              <w:t>C</w:t>
            </w:r>
            <w:r>
              <w:rPr>
                <w:rFonts w:eastAsia="仿宋"/>
                <w:kern w:val="0"/>
                <w:szCs w:val="21"/>
                <w:vertAlign w:val="subscript"/>
              </w:rPr>
              <w:t>1</w:t>
            </w:r>
          </w:p>
        </w:tc>
        <w:tc>
          <w:tcPr>
            <w:tcW w:w="1171"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left"/>
              <w:textAlignment w:val="auto"/>
              <w:rPr>
                <w:rFonts w:eastAsia="仿宋"/>
                <w:kern w:val="0"/>
                <w:szCs w:val="21"/>
              </w:rPr>
            </w:pPr>
            <w:r>
              <w:rPr>
                <w:rFonts w:eastAsia="仿宋"/>
                <w:kern w:val="0"/>
                <w:szCs w:val="21"/>
              </w:rPr>
              <w:t>奥依塔克镇低易发亚区</w:t>
            </w:r>
          </w:p>
        </w:tc>
        <w:tc>
          <w:tcPr>
            <w:tcW w:w="1288"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center"/>
              <w:textAlignment w:val="auto"/>
              <w:rPr>
                <w:rFonts w:eastAsia="仿宋"/>
                <w:kern w:val="0"/>
                <w:szCs w:val="21"/>
              </w:rPr>
            </w:pPr>
            <w:r>
              <w:rPr>
                <w:rFonts w:eastAsia="仿宋"/>
                <w:kern w:val="0"/>
                <w:szCs w:val="21"/>
              </w:rPr>
              <w:t>1749.03</w:t>
            </w:r>
          </w:p>
        </w:tc>
        <w:tc>
          <w:tcPr>
            <w:tcW w:w="1091"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center"/>
              <w:textAlignment w:val="auto"/>
              <w:rPr>
                <w:rFonts w:eastAsia="仿宋"/>
                <w:kern w:val="0"/>
                <w:szCs w:val="21"/>
              </w:rPr>
            </w:pPr>
            <w:r>
              <w:rPr>
                <w:rFonts w:eastAsia="仿宋"/>
                <w:kern w:val="0"/>
                <w:szCs w:val="21"/>
              </w:rPr>
              <w:t>3</w:t>
            </w:r>
          </w:p>
        </w:tc>
        <w:tc>
          <w:tcPr>
            <w:tcW w:w="964"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center"/>
              <w:textAlignment w:val="auto"/>
              <w:rPr>
                <w:rFonts w:eastAsia="仿宋"/>
                <w:kern w:val="0"/>
                <w:szCs w:val="21"/>
              </w:rPr>
            </w:pPr>
            <w:r>
              <w:rPr>
                <w:rFonts w:eastAsia="仿宋"/>
                <w:kern w:val="0"/>
                <w:szCs w:val="21"/>
              </w:rPr>
              <w:t>9</w:t>
            </w:r>
          </w:p>
        </w:tc>
        <w:tc>
          <w:tcPr>
            <w:tcW w:w="1107"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center"/>
              <w:textAlignment w:val="auto"/>
              <w:rPr>
                <w:rFonts w:eastAsia="仿宋"/>
                <w:kern w:val="0"/>
                <w:szCs w:val="21"/>
              </w:rPr>
            </w:pPr>
            <w:r>
              <w:rPr>
                <w:rFonts w:eastAsia="仿宋"/>
                <w:kern w:val="0"/>
                <w:szCs w:val="21"/>
              </w:rPr>
              <w:t>193.5</w:t>
            </w:r>
          </w:p>
        </w:tc>
        <w:tc>
          <w:tcPr>
            <w:tcW w:w="2889"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left"/>
              <w:textAlignment w:val="auto"/>
              <w:rPr>
                <w:rFonts w:eastAsia="仿宋"/>
                <w:kern w:val="0"/>
                <w:szCs w:val="21"/>
              </w:rPr>
            </w:pPr>
            <w:r>
              <w:rPr>
                <w:rFonts w:eastAsia="仿宋"/>
                <w:kern w:val="0"/>
                <w:szCs w:val="21"/>
              </w:rPr>
              <w:t>中山河谷地貌，在地形坡度上以中陡坡为主，地层以花岗岩、变质碎屑岩为主，沟谷发育，雨季沟中易发生小型泥石流。</w:t>
            </w:r>
          </w:p>
        </w:tc>
        <w:tc>
          <w:tcPr>
            <w:tcW w:w="3566"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center"/>
              <w:textAlignment w:val="auto"/>
              <w:rPr>
                <w:rFonts w:eastAsia="仿宋"/>
                <w:kern w:val="0"/>
                <w:szCs w:val="21"/>
              </w:rPr>
            </w:pPr>
            <w:r>
              <w:rPr>
                <w:rFonts w:eastAsia="仿宋"/>
                <w:kern w:val="0"/>
                <w:szCs w:val="21"/>
              </w:rPr>
              <w:t>1）加强监管、预防为主。2）尽量避免在丘陵、中低山的山体自然斜坡、坡脚山麓地带进行高挖低填等工程活动。3）区内工程建设项目按《地质灾害防治条例》规定进行地质灾害危险性评估。4）规范人类工程活动，保护地质环境。</w:t>
            </w:r>
          </w:p>
        </w:tc>
      </w:tr>
      <w:tr>
        <w:tblPrEx>
          <w:tblCellMar>
            <w:top w:w="0" w:type="dxa"/>
            <w:left w:w="108" w:type="dxa"/>
            <w:bottom w:w="0" w:type="dxa"/>
            <w:right w:w="108" w:type="dxa"/>
          </w:tblCellMar>
        </w:tblPrEx>
        <w:trPr>
          <w:trHeight w:val="971" w:hRule="atLeast"/>
        </w:trPr>
        <w:tc>
          <w:tcPr>
            <w:tcW w:w="1001" w:type="dxa"/>
            <w:vMerge w:val="continue"/>
            <w:tcBorders>
              <w:top w:val="single" w:color="auto" w:sz="4" w:space="0"/>
              <w:left w:val="single" w:color="auto" w:sz="4" w:space="0"/>
              <w:bottom w:val="single" w:color="000000" w:sz="4" w:space="0"/>
              <w:right w:val="single" w:color="auto" w:sz="4" w:space="0"/>
            </w:tcBorders>
            <w:vAlign w:val="center"/>
          </w:tcPr>
          <w:p>
            <w:pPr>
              <w:pageBreakBefore w:val="0"/>
              <w:widowControl/>
              <w:kinsoku/>
              <w:wordWrap/>
              <w:overflowPunct/>
              <w:topLinePunct w:val="0"/>
              <w:autoSpaceDE/>
              <w:autoSpaceDN/>
              <w:bidi w:val="0"/>
              <w:spacing w:line="0" w:lineRule="atLeast"/>
              <w:jc w:val="left"/>
              <w:textAlignment w:val="auto"/>
              <w:rPr>
                <w:rFonts w:eastAsia="仿宋"/>
                <w:kern w:val="0"/>
                <w:szCs w:val="21"/>
              </w:rPr>
            </w:pPr>
          </w:p>
        </w:tc>
        <w:tc>
          <w:tcPr>
            <w:tcW w:w="815"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center"/>
              <w:textAlignment w:val="auto"/>
              <w:rPr>
                <w:rFonts w:eastAsia="仿宋"/>
                <w:kern w:val="0"/>
                <w:szCs w:val="21"/>
              </w:rPr>
            </w:pPr>
            <w:r>
              <w:rPr>
                <w:rFonts w:eastAsia="仿宋"/>
                <w:kern w:val="0"/>
                <w:szCs w:val="21"/>
              </w:rPr>
              <w:t>C</w:t>
            </w:r>
            <w:r>
              <w:rPr>
                <w:rFonts w:eastAsia="仿宋"/>
                <w:kern w:val="0"/>
                <w:szCs w:val="21"/>
                <w:vertAlign w:val="subscript"/>
              </w:rPr>
              <w:t>2</w:t>
            </w:r>
          </w:p>
        </w:tc>
        <w:tc>
          <w:tcPr>
            <w:tcW w:w="1171"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left"/>
              <w:textAlignment w:val="auto"/>
              <w:rPr>
                <w:rFonts w:eastAsia="仿宋"/>
                <w:kern w:val="0"/>
                <w:szCs w:val="21"/>
              </w:rPr>
            </w:pPr>
            <w:r>
              <w:rPr>
                <w:rFonts w:eastAsia="仿宋"/>
                <w:kern w:val="0"/>
                <w:szCs w:val="21"/>
              </w:rPr>
              <w:t>木吉河上游低易发亚区</w:t>
            </w:r>
          </w:p>
        </w:tc>
        <w:tc>
          <w:tcPr>
            <w:tcW w:w="1288"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center"/>
              <w:textAlignment w:val="auto"/>
              <w:rPr>
                <w:rFonts w:eastAsia="仿宋"/>
                <w:kern w:val="0"/>
                <w:szCs w:val="21"/>
              </w:rPr>
            </w:pPr>
            <w:r>
              <w:rPr>
                <w:rFonts w:eastAsia="仿宋"/>
                <w:kern w:val="0"/>
                <w:szCs w:val="21"/>
              </w:rPr>
              <w:t>860.05</w:t>
            </w:r>
          </w:p>
        </w:tc>
        <w:tc>
          <w:tcPr>
            <w:tcW w:w="1091"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center"/>
              <w:textAlignment w:val="auto"/>
              <w:rPr>
                <w:rFonts w:eastAsia="仿宋"/>
                <w:kern w:val="0"/>
                <w:szCs w:val="21"/>
              </w:rPr>
            </w:pPr>
            <w:r>
              <w:rPr>
                <w:rFonts w:eastAsia="仿宋"/>
                <w:kern w:val="0"/>
                <w:szCs w:val="21"/>
              </w:rPr>
              <w:t>2</w:t>
            </w:r>
          </w:p>
        </w:tc>
        <w:tc>
          <w:tcPr>
            <w:tcW w:w="964"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center"/>
              <w:textAlignment w:val="auto"/>
              <w:rPr>
                <w:rFonts w:eastAsia="仿宋"/>
                <w:kern w:val="0"/>
                <w:szCs w:val="21"/>
              </w:rPr>
            </w:pPr>
            <w:r>
              <w:rPr>
                <w:rFonts w:eastAsia="仿宋"/>
                <w:kern w:val="0"/>
                <w:szCs w:val="21"/>
              </w:rPr>
              <w:t>5</w:t>
            </w:r>
          </w:p>
        </w:tc>
        <w:tc>
          <w:tcPr>
            <w:tcW w:w="1107"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center"/>
              <w:textAlignment w:val="auto"/>
              <w:rPr>
                <w:rFonts w:eastAsia="仿宋"/>
                <w:kern w:val="0"/>
                <w:szCs w:val="21"/>
              </w:rPr>
            </w:pPr>
            <w:r>
              <w:rPr>
                <w:rFonts w:eastAsia="仿宋"/>
                <w:kern w:val="0"/>
                <w:szCs w:val="21"/>
              </w:rPr>
              <w:t>36</w:t>
            </w:r>
          </w:p>
        </w:tc>
        <w:tc>
          <w:tcPr>
            <w:tcW w:w="2889"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left"/>
              <w:textAlignment w:val="auto"/>
              <w:rPr>
                <w:rFonts w:eastAsia="仿宋"/>
                <w:kern w:val="0"/>
                <w:szCs w:val="21"/>
              </w:rPr>
            </w:pPr>
            <w:r>
              <w:rPr>
                <w:rFonts w:eastAsia="仿宋"/>
                <w:kern w:val="0"/>
                <w:szCs w:val="21"/>
              </w:rPr>
              <w:t>高山谷盆地地貌，底部开阔，在地形坡度上以中缓坡为主，地层以花岗岩、变质碎屑岩为主，沟谷较发育，存在一定危险性。</w:t>
            </w:r>
          </w:p>
        </w:tc>
        <w:tc>
          <w:tcPr>
            <w:tcW w:w="3566" w:type="dxa"/>
            <w:vMerge w:val="continue"/>
            <w:tcBorders>
              <w:top w:val="single" w:color="auto" w:sz="4" w:space="0"/>
              <w:left w:val="single" w:color="auto" w:sz="4" w:space="0"/>
              <w:bottom w:val="single" w:color="000000" w:sz="4" w:space="0"/>
              <w:right w:val="single" w:color="auto" w:sz="4" w:space="0"/>
            </w:tcBorders>
            <w:vAlign w:val="center"/>
          </w:tcPr>
          <w:p>
            <w:pPr>
              <w:pageBreakBefore w:val="0"/>
              <w:widowControl/>
              <w:kinsoku/>
              <w:wordWrap/>
              <w:overflowPunct/>
              <w:topLinePunct w:val="0"/>
              <w:autoSpaceDE/>
              <w:autoSpaceDN/>
              <w:bidi w:val="0"/>
              <w:spacing w:line="0" w:lineRule="atLeast"/>
              <w:jc w:val="left"/>
              <w:textAlignment w:val="auto"/>
              <w:rPr>
                <w:rFonts w:eastAsia="仿宋"/>
                <w:kern w:val="0"/>
                <w:szCs w:val="21"/>
              </w:rPr>
            </w:pPr>
          </w:p>
        </w:tc>
      </w:tr>
      <w:tr>
        <w:tblPrEx>
          <w:tblCellMar>
            <w:top w:w="0" w:type="dxa"/>
            <w:left w:w="108" w:type="dxa"/>
            <w:bottom w:w="0" w:type="dxa"/>
            <w:right w:w="108" w:type="dxa"/>
          </w:tblCellMar>
        </w:tblPrEx>
        <w:trPr>
          <w:trHeight w:val="800" w:hRule="atLeast"/>
        </w:trPr>
        <w:tc>
          <w:tcPr>
            <w:tcW w:w="1001" w:type="dxa"/>
            <w:vMerge w:val="continue"/>
            <w:tcBorders>
              <w:top w:val="nil"/>
              <w:left w:val="single" w:color="auto" w:sz="4" w:space="0"/>
              <w:bottom w:val="single" w:color="000000" w:sz="4" w:space="0"/>
              <w:right w:val="single" w:color="auto" w:sz="4" w:space="0"/>
            </w:tcBorders>
            <w:vAlign w:val="center"/>
          </w:tcPr>
          <w:p>
            <w:pPr>
              <w:pageBreakBefore w:val="0"/>
              <w:widowControl/>
              <w:kinsoku/>
              <w:wordWrap/>
              <w:overflowPunct/>
              <w:topLinePunct w:val="0"/>
              <w:autoSpaceDE/>
              <w:autoSpaceDN/>
              <w:bidi w:val="0"/>
              <w:spacing w:line="0" w:lineRule="atLeast"/>
              <w:jc w:val="left"/>
              <w:textAlignment w:val="auto"/>
              <w:rPr>
                <w:rFonts w:eastAsia="仿宋"/>
                <w:kern w:val="0"/>
                <w:szCs w:val="21"/>
              </w:rPr>
            </w:pPr>
          </w:p>
        </w:tc>
        <w:tc>
          <w:tcPr>
            <w:tcW w:w="815"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center"/>
              <w:textAlignment w:val="auto"/>
              <w:rPr>
                <w:rFonts w:eastAsia="仿宋"/>
                <w:kern w:val="0"/>
                <w:szCs w:val="21"/>
              </w:rPr>
            </w:pPr>
            <w:r>
              <w:rPr>
                <w:rFonts w:eastAsia="仿宋"/>
                <w:kern w:val="0"/>
                <w:szCs w:val="21"/>
              </w:rPr>
              <w:t>C</w:t>
            </w:r>
            <w:r>
              <w:rPr>
                <w:rFonts w:eastAsia="仿宋"/>
                <w:kern w:val="0"/>
                <w:szCs w:val="21"/>
                <w:vertAlign w:val="subscript"/>
              </w:rPr>
              <w:t>3</w:t>
            </w:r>
          </w:p>
        </w:tc>
        <w:tc>
          <w:tcPr>
            <w:tcW w:w="1171"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left"/>
              <w:textAlignment w:val="auto"/>
              <w:rPr>
                <w:rFonts w:eastAsia="仿宋"/>
                <w:kern w:val="0"/>
                <w:szCs w:val="21"/>
              </w:rPr>
            </w:pPr>
            <w:r>
              <w:rPr>
                <w:rFonts w:eastAsia="仿宋"/>
                <w:kern w:val="0"/>
                <w:szCs w:val="21"/>
              </w:rPr>
              <w:t>布伦口乡-红其拉甫口岸低易发亚区</w:t>
            </w:r>
          </w:p>
        </w:tc>
        <w:tc>
          <w:tcPr>
            <w:tcW w:w="1288"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center"/>
              <w:textAlignment w:val="auto"/>
              <w:rPr>
                <w:rFonts w:eastAsia="仿宋"/>
                <w:kern w:val="0"/>
                <w:szCs w:val="21"/>
              </w:rPr>
            </w:pPr>
            <w:r>
              <w:rPr>
                <w:rFonts w:eastAsia="仿宋"/>
                <w:kern w:val="0"/>
                <w:szCs w:val="21"/>
              </w:rPr>
              <w:t>676.08</w:t>
            </w:r>
          </w:p>
        </w:tc>
        <w:tc>
          <w:tcPr>
            <w:tcW w:w="1091"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center"/>
              <w:textAlignment w:val="auto"/>
              <w:rPr>
                <w:rFonts w:eastAsia="仿宋"/>
                <w:kern w:val="0"/>
                <w:szCs w:val="21"/>
              </w:rPr>
            </w:pPr>
            <w:r>
              <w:rPr>
                <w:rFonts w:eastAsia="仿宋"/>
                <w:kern w:val="0"/>
                <w:szCs w:val="21"/>
              </w:rPr>
              <w:t>2</w:t>
            </w:r>
          </w:p>
        </w:tc>
        <w:tc>
          <w:tcPr>
            <w:tcW w:w="964"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center"/>
              <w:textAlignment w:val="auto"/>
              <w:rPr>
                <w:rFonts w:eastAsia="仿宋"/>
                <w:kern w:val="0"/>
                <w:szCs w:val="21"/>
              </w:rPr>
            </w:pPr>
            <w:r>
              <w:rPr>
                <w:rFonts w:eastAsia="仿宋"/>
                <w:kern w:val="0"/>
                <w:szCs w:val="21"/>
              </w:rPr>
              <w:t>21</w:t>
            </w:r>
          </w:p>
        </w:tc>
        <w:tc>
          <w:tcPr>
            <w:tcW w:w="1107"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center"/>
              <w:textAlignment w:val="auto"/>
              <w:rPr>
                <w:rFonts w:eastAsia="仿宋"/>
                <w:kern w:val="0"/>
                <w:szCs w:val="21"/>
              </w:rPr>
            </w:pPr>
            <w:r>
              <w:rPr>
                <w:rFonts w:eastAsia="仿宋"/>
                <w:kern w:val="0"/>
                <w:szCs w:val="21"/>
              </w:rPr>
              <w:t>110</w:t>
            </w:r>
          </w:p>
        </w:tc>
        <w:tc>
          <w:tcPr>
            <w:tcW w:w="2889"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left"/>
              <w:textAlignment w:val="auto"/>
              <w:rPr>
                <w:rFonts w:eastAsia="仿宋"/>
                <w:kern w:val="0"/>
                <w:szCs w:val="21"/>
              </w:rPr>
            </w:pPr>
            <w:r>
              <w:rPr>
                <w:rFonts w:eastAsia="仿宋"/>
                <w:kern w:val="0"/>
                <w:szCs w:val="21"/>
              </w:rPr>
              <w:t>高山谷盆地地貌，底部开阔，在地形坡度上以中缓坡为主，地层以粉砂岩为主，沟谷较发育，存在一定危险性。</w:t>
            </w:r>
          </w:p>
        </w:tc>
        <w:tc>
          <w:tcPr>
            <w:tcW w:w="3566" w:type="dxa"/>
            <w:vMerge w:val="continue"/>
            <w:tcBorders>
              <w:top w:val="nil"/>
              <w:left w:val="single" w:color="auto" w:sz="4" w:space="0"/>
              <w:bottom w:val="single" w:color="000000" w:sz="4" w:space="0"/>
              <w:right w:val="single" w:color="auto" w:sz="4" w:space="0"/>
            </w:tcBorders>
            <w:vAlign w:val="center"/>
          </w:tcPr>
          <w:p>
            <w:pPr>
              <w:pageBreakBefore w:val="0"/>
              <w:widowControl/>
              <w:kinsoku/>
              <w:wordWrap/>
              <w:overflowPunct/>
              <w:topLinePunct w:val="0"/>
              <w:autoSpaceDE/>
              <w:autoSpaceDN/>
              <w:bidi w:val="0"/>
              <w:spacing w:line="0" w:lineRule="atLeast"/>
              <w:jc w:val="left"/>
              <w:textAlignment w:val="auto"/>
              <w:rPr>
                <w:rFonts w:eastAsia="仿宋"/>
                <w:kern w:val="0"/>
                <w:szCs w:val="21"/>
              </w:rPr>
            </w:pPr>
          </w:p>
        </w:tc>
      </w:tr>
      <w:tr>
        <w:tblPrEx>
          <w:tblCellMar>
            <w:top w:w="0" w:type="dxa"/>
            <w:left w:w="108" w:type="dxa"/>
            <w:bottom w:w="0" w:type="dxa"/>
            <w:right w:w="108" w:type="dxa"/>
          </w:tblCellMar>
        </w:tblPrEx>
        <w:trPr>
          <w:trHeight w:val="1112" w:hRule="atLeast"/>
        </w:trPr>
        <w:tc>
          <w:tcPr>
            <w:tcW w:w="1001"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both"/>
              <w:textAlignment w:val="auto"/>
              <w:rPr>
                <w:rFonts w:eastAsia="仿宋"/>
                <w:kern w:val="0"/>
                <w:szCs w:val="21"/>
              </w:rPr>
            </w:pPr>
            <w:r>
              <w:rPr>
                <w:rFonts w:eastAsia="仿宋"/>
                <w:kern w:val="0"/>
                <w:szCs w:val="21"/>
              </w:rPr>
              <w:t>非易发区（D）</w:t>
            </w:r>
          </w:p>
        </w:tc>
        <w:tc>
          <w:tcPr>
            <w:tcW w:w="815"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center"/>
              <w:textAlignment w:val="auto"/>
              <w:rPr>
                <w:rFonts w:eastAsia="仿宋"/>
                <w:kern w:val="0"/>
                <w:szCs w:val="21"/>
              </w:rPr>
            </w:pPr>
            <w:r>
              <w:rPr>
                <w:rFonts w:eastAsia="仿宋"/>
                <w:kern w:val="0"/>
                <w:szCs w:val="21"/>
              </w:rPr>
              <w:t>D</w:t>
            </w:r>
          </w:p>
        </w:tc>
        <w:tc>
          <w:tcPr>
            <w:tcW w:w="1171"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left"/>
              <w:textAlignment w:val="auto"/>
              <w:rPr>
                <w:rFonts w:eastAsia="仿宋"/>
                <w:kern w:val="0"/>
                <w:szCs w:val="21"/>
              </w:rPr>
            </w:pPr>
            <w:r>
              <w:rPr>
                <w:rFonts w:eastAsia="仿宋"/>
                <w:kern w:val="0"/>
                <w:szCs w:val="21"/>
              </w:rPr>
              <w:t>无</w:t>
            </w:r>
          </w:p>
        </w:tc>
        <w:tc>
          <w:tcPr>
            <w:tcW w:w="1288"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center"/>
              <w:textAlignment w:val="auto"/>
              <w:rPr>
                <w:rFonts w:eastAsia="仿宋"/>
                <w:kern w:val="0"/>
                <w:szCs w:val="21"/>
              </w:rPr>
            </w:pPr>
            <w:r>
              <w:rPr>
                <w:rFonts w:eastAsia="仿宋"/>
                <w:kern w:val="0"/>
                <w:szCs w:val="21"/>
              </w:rPr>
              <w:t>11506.65</w:t>
            </w:r>
          </w:p>
        </w:tc>
        <w:tc>
          <w:tcPr>
            <w:tcW w:w="1091"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center"/>
              <w:textAlignment w:val="auto"/>
              <w:rPr>
                <w:rFonts w:eastAsia="仿宋"/>
                <w:kern w:val="0"/>
                <w:szCs w:val="21"/>
              </w:rPr>
            </w:pPr>
            <w:r>
              <w:rPr>
                <w:rFonts w:eastAsia="仿宋"/>
                <w:kern w:val="0"/>
                <w:szCs w:val="21"/>
              </w:rPr>
              <w:t>/</w:t>
            </w:r>
          </w:p>
        </w:tc>
        <w:tc>
          <w:tcPr>
            <w:tcW w:w="964"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center"/>
              <w:textAlignment w:val="auto"/>
              <w:rPr>
                <w:rFonts w:eastAsia="仿宋"/>
                <w:kern w:val="0"/>
                <w:szCs w:val="21"/>
              </w:rPr>
            </w:pPr>
            <w:r>
              <w:rPr>
                <w:rFonts w:eastAsia="仿宋"/>
                <w:kern w:val="0"/>
                <w:szCs w:val="21"/>
              </w:rPr>
              <w:t>/</w:t>
            </w:r>
          </w:p>
        </w:tc>
        <w:tc>
          <w:tcPr>
            <w:tcW w:w="1107"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center"/>
              <w:textAlignment w:val="auto"/>
              <w:rPr>
                <w:rFonts w:eastAsia="仿宋"/>
                <w:kern w:val="0"/>
                <w:szCs w:val="21"/>
              </w:rPr>
            </w:pPr>
            <w:r>
              <w:rPr>
                <w:rFonts w:eastAsia="仿宋"/>
                <w:kern w:val="0"/>
                <w:szCs w:val="21"/>
              </w:rPr>
              <w:t>/</w:t>
            </w:r>
          </w:p>
        </w:tc>
        <w:tc>
          <w:tcPr>
            <w:tcW w:w="2889"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left"/>
              <w:textAlignment w:val="auto"/>
              <w:rPr>
                <w:rFonts w:eastAsia="仿宋"/>
                <w:kern w:val="0"/>
                <w:szCs w:val="21"/>
              </w:rPr>
            </w:pPr>
            <w:r>
              <w:rPr>
                <w:rFonts w:eastAsia="仿宋"/>
                <w:kern w:val="0"/>
                <w:szCs w:val="21"/>
              </w:rPr>
              <w:t>高山区无人类居住，降水少，地质灾害不发育；平原区地质环境条件较好，地质灾害不发育。</w:t>
            </w:r>
          </w:p>
        </w:tc>
        <w:tc>
          <w:tcPr>
            <w:tcW w:w="3566"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left"/>
              <w:textAlignment w:val="auto"/>
              <w:rPr>
                <w:rFonts w:eastAsia="仿宋"/>
                <w:kern w:val="0"/>
                <w:szCs w:val="21"/>
              </w:rPr>
            </w:pPr>
            <w:r>
              <w:rPr>
                <w:rFonts w:eastAsia="仿宋"/>
                <w:kern w:val="0"/>
                <w:szCs w:val="21"/>
              </w:rPr>
              <w:t>1）加强监管、预防为主；2）避免在山体自然斜坡、坡脚山麓地带进行高挖低填等工程活动；3）区内工程建设项目按《地质灾害防治条例》规定进行地质灾害危险性评估；4）规范人类工程活动，保护地质环境。</w:t>
            </w:r>
          </w:p>
        </w:tc>
      </w:tr>
      <w:tr>
        <w:tblPrEx>
          <w:tblCellMar>
            <w:top w:w="0" w:type="dxa"/>
            <w:left w:w="108" w:type="dxa"/>
            <w:bottom w:w="0" w:type="dxa"/>
            <w:right w:w="108" w:type="dxa"/>
          </w:tblCellMar>
        </w:tblPrEx>
        <w:trPr>
          <w:trHeight w:val="212" w:hRule="atLeast"/>
        </w:trPr>
        <w:tc>
          <w:tcPr>
            <w:tcW w:w="2987" w:type="dxa"/>
            <w:gridSpan w:val="3"/>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center"/>
              <w:textAlignment w:val="auto"/>
              <w:rPr>
                <w:rFonts w:eastAsia="仿宋"/>
                <w:kern w:val="0"/>
                <w:szCs w:val="21"/>
              </w:rPr>
            </w:pPr>
            <w:r>
              <w:rPr>
                <w:rFonts w:eastAsia="仿宋"/>
                <w:kern w:val="0"/>
                <w:szCs w:val="21"/>
              </w:rPr>
              <w:t>合计</w:t>
            </w:r>
          </w:p>
        </w:tc>
        <w:tc>
          <w:tcPr>
            <w:tcW w:w="1288"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center"/>
              <w:textAlignment w:val="auto"/>
              <w:rPr>
                <w:rFonts w:eastAsia="仿宋"/>
                <w:kern w:val="0"/>
                <w:szCs w:val="21"/>
              </w:rPr>
            </w:pPr>
            <w:r>
              <w:rPr>
                <w:rFonts w:eastAsia="仿宋"/>
                <w:kern w:val="0"/>
                <w:szCs w:val="21"/>
              </w:rPr>
              <w:t>24046</w:t>
            </w:r>
          </w:p>
        </w:tc>
        <w:tc>
          <w:tcPr>
            <w:tcW w:w="1091"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center"/>
              <w:textAlignment w:val="auto"/>
              <w:rPr>
                <w:rFonts w:eastAsia="仿宋"/>
                <w:kern w:val="0"/>
                <w:szCs w:val="21"/>
              </w:rPr>
            </w:pPr>
            <w:r>
              <w:rPr>
                <w:rFonts w:eastAsia="仿宋"/>
                <w:kern w:val="0"/>
                <w:szCs w:val="21"/>
              </w:rPr>
              <w:t>76</w:t>
            </w:r>
          </w:p>
        </w:tc>
        <w:tc>
          <w:tcPr>
            <w:tcW w:w="964"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center"/>
              <w:textAlignment w:val="auto"/>
              <w:rPr>
                <w:rFonts w:eastAsia="仿宋"/>
                <w:kern w:val="0"/>
                <w:szCs w:val="21"/>
              </w:rPr>
            </w:pPr>
            <w:r>
              <w:rPr>
                <w:rFonts w:eastAsia="仿宋"/>
                <w:kern w:val="0"/>
                <w:szCs w:val="21"/>
              </w:rPr>
              <w:t>593</w:t>
            </w:r>
          </w:p>
        </w:tc>
        <w:tc>
          <w:tcPr>
            <w:tcW w:w="1107"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center"/>
              <w:textAlignment w:val="auto"/>
              <w:rPr>
                <w:rFonts w:eastAsia="仿宋"/>
                <w:kern w:val="0"/>
                <w:szCs w:val="21"/>
              </w:rPr>
            </w:pPr>
            <w:r>
              <w:rPr>
                <w:rFonts w:eastAsia="仿宋"/>
                <w:kern w:val="0"/>
                <w:szCs w:val="21"/>
              </w:rPr>
              <w:t>4501</w:t>
            </w:r>
          </w:p>
        </w:tc>
        <w:tc>
          <w:tcPr>
            <w:tcW w:w="2889"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left"/>
              <w:textAlignment w:val="auto"/>
              <w:rPr>
                <w:rFonts w:eastAsia="仿宋"/>
                <w:kern w:val="0"/>
                <w:szCs w:val="21"/>
              </w:rPr>
            </w:pPr>
            <w:r>
              <w:rPr>
                <w:rFonts w:eastAsia="仿宋"/>
                <w:kern w:val="0"/>
                <w:szCs w:val="21"/>
              </w:rPr>
              <w:t>　</w:t>
            </w:r>
          </w:p>
        </w:tc>
        <w:tc>
          <w:tcPr>
            <w:tcW w:w="3566" w:type="dxa"/>
            <w:tcBorders>
              <w:top w:val="nil"/>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0" w:lineRule="atLeast"/>
              <w:jc w:val="left"/>
              <w:textAlignment w:val="auto"/>
              <w:rPr>
                <w:rFonts w:eastAsia="仿宋"/>
                <w:kern w:val="0"/>
                <w:szCs w:val="21"/>
              </w:rPr>
            </w:pPr>
            <w:r>
              <w:rPr>
                <w:rFonts w:eastAsia="仿宋"/>
                <w:kern w:val="0"/>
                <w:szCs w:val="21"/>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AA343D"/>
    <w:rsid w:val="05AA34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Body Text First Indent"/>
    <w:basedOn w:val="2"/>
    <w:qFormat/>
    <w:uiPriority w:val="0"/>
    <w:pPr>
      <w:spacing w:after="120"/>
      <w:ind w:firstLine="420" w:firstLineChars="100"/>
    </w:pPr>
    <w:rPr>
      <w:sz w:val="3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2022-10-14T08:32:00Z</dcterms:created>
  <dc:creator>lenovo</dc:creator>
  <cp:lastModifiedBy>lenovo</cp:lastModifiedBy>
  <dcterms:modified xsi:type="dcterms:W3CDTF">2022-10-14T08:33:03Z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BE9F20DFADE74168B0BA8564AD05B7ED</vt:lpwstr>
  </property>
</Properties>
</file>